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财政部 税务总局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lang w:val="en-US" w:eastAsia="zh-CN"/>
        </w:rPr>
      </w:pPr>
      <w:r>
        <w:rPr>
          <w:rFonts w:hint="eastAsia" w:ascii="微软雅黑" w:hAnsi="微软雅黑" w:eastAsia="微软雅黑" w:cs="微软雅黑"/>
          <w:b w:val="0"/>
          <w:bCs/>
          <w:i w:val="0"/>
          <w:caps w:val="0"/>
          <w:color w:val="333333"/>
          <w:spacing w:val="0"/>
          <w:sz w:val="36"/>
          <w:szCs w:val="36"/>
          <w:shd w:val="clear" w:fill="FFFFFF"/>
          <w:lang w:val="en-US" w:eastAsia="zh-CN"/>
        </w:rPr>
        <w:t>关于继续实行农产品批发市场 农贸市场房产税 城镇土地使用税优惠政策的通知</w:t>
      </w:r>
    </w:p>
    <w:p>
      <w:pPr>
        <w:keepNext w:val="0"/>
        <w:keepLines w:val="0"/>
        <w:widowControl/>
        <w:suppressLineNumbers w:val="0"/>
        <w:pBdr>
          <w:top w:val="none" w:color="auto" w:sz="0" w:space="0"/>
          <w:bottom w:val="none" w:color="auto" w:sz="0" w:space="0"/>
        </w:pBdr>
        <w:shd w:val="clear" w:fill="FFFFFF"/>
        <w:spacing w:before="210" w:beforeAutospacing="0" w:after="210" w:afterAutospacing="0"/>
        <w:ind w:left="0" w:right="0"/>
        <w:jc w:val="center"/>
        <w:rPr>
          <w:rFonts w:hint="eastAsia" w:ascii="微软雅黑" w:hAnsi="微软雅黑" w:eastAsia="微软雅黑" w:cs="微软雅黑"/>
          <w:color w:val="333333"/>
          <w:sz w:val="24"/>
          <w:szCs w:val="24"/>
        </w:rPr>
      </w:pPr>
      <w:r>
        <w:rPr>
          <w:rStyle w:val="7"/>
          <w:rFonts w:hint="eastAsia" w:ascii="宋体" w:hAnsi="宋体" w:eastAsia="宋体" w:cs="宋体"/>
          <w:i w:val="0"/>
          <w:caps w:val="0"/>
          <w:color w:val="333333"/>
          <w:spacing w:val="0"/>
          <w:kern w:val="0"/>
          <w:sz w:val="24"/>
          <w:szCs w:val="24"/>
          <w:shd w:val="clear" w:fill="FFFFFF"/>
          <w:lang w:val="en-US" w:eastAsia="zh-CN" w:bidi="ar"/>
        </w:rPr>
        <w:t>财税〔2019〕12号</w:t>
      </w:r>
      <w:r>
        <w:rPr>
          <w:rFonts w:hint="eastAsia" w:ascii="微软雅黑" w:hAnsi="微软雅黑" w:eastAsia="微软雅黑" w:cs="微软雅黑"/>
          <w:color w:val="333333"/>
          <w:kern w:val="0"/>
          <w:sz w:val="24"/>
          <w:szCs w:val="24"/>
          <w:u w:val="none"/>
          <w:shd w:val="clear" w:fill="FFFFFF"/>
          <w:lang w:val="en-US" w:eastAsia="zh-CN" w:bidi="ar"/>
        </w:rPr>
        <w:fldChar w:fldCharType="begin"/>
      </w:r>
      <w:r>
        <w:rPr>
          <w:rFonts w:hint="eastAsia" w:ascii="微软雅黑" w:hAnsi="微软雅黑" w:eastAsia="微软雅黑" w:cs="微软雅黑"/>
          <w:color w:val="333333"/>
          <w:kern w:val="0"/>
          <w:sz w:val="24"/>
          <w:szCs w:val="24"/>
          <w:u w:val="none"/>
          <w:shd w:val="clear" w:fill="FFFFFF"/>
          <w:lang w:val="en-US" w:eastAsia="zh-CN" w:bidi="ar"/>
        </w:rPr>
        <w:instrText xml:space="preserve"> HYPERLINK "http://www.chinatax.gov.cn/n810341/n810755/c4030125/content.html" \t "http://www.chinatax.gov.cn/n810341/n810755/c4030125/_blank" </w:instrText>
      </w:r>
      <w:r>
        <w:rPr>
          <w:rFonts w:hint="eastAsia" w:ascii="微软雅黑" w:hAnsi="微软雅黑" w:eastAsia="微软雅黑" w:cs="微软雅黑"/>
          <w:color w:val="333333"/>
          <w:kern w:val="0"/>
          <w:sz w:val="24"/>
          <w:szCs w:val="24"/>
          <w:u w:val="none"/>
          <w:shd w:val="clear" w:fill="FFFFFF"/>
          <w:lang w:val="en-US" w:eastAsia="zh-CN" w:bidi="ar"/>
        </w:rPr>
        <w:fldChar w:fldCharType="separate"/>
      </w:r>
      <w:r>
        <w:rPr>
          <w:rFonts w:hint="eastAsia" w:ascii="微软雅黑" w:hAnsi="微软雅黑" w:eastAsia="微软雅黑" w:cs="微软雅黑"/>
          <w:color w:val="333333"/>
          <w:kern w:val="0"/>
          <w:sz w:val="24"/>
          <w:szCs w:val="24"/>
          <w:u w:val="none"/>
          <w:shd w:val="clear" w:fill="FFFFFF"/>
          <w:lang w:val="en-US" w:eastAsia="zh-CN" w:bidi="ar"/>
        </w:rPr>
        <w:fldChar w:fldCharType="end"/>
      </w:r>
    </w:p>
    <w:p>
      <w:pPr>
        <w:keepNext w:val="0"/>
        <w:keepLines w:val="0"/>
        <w:widowControl/>
        <w:suppressLineNumbers w:val="0"/>
        <w:pBdr>
          <w:top w:val="none" w:color="auto" w:sz="0" w:space="0"/>
          <w:bottom w:val="none" w:color="auto" w:sz="0" w:space="0"/>
        </w:pBdr>
        <w:shd w:val="clear" w:fill="FFFFFF"/>
        <w:spacing w:before="210" w:beforeAutospacing="0" w:after="210" w:afterAutospacing="0"/>
        <w:ind w:left="0" w:right="0"/>
        <w:jc w:val="left"/>
        <w:rPr>
          <w:rFonts w:hint="eastAsia" w:ascii="微软雅黑" w:hAnsi="微软雅黑" w:eastAsia="微软雅黑" w:cs="微软雅黑"/>
          <w:color w:val="333333"/>
          <w:sz w:val="24"/>
          <w:szCs w:val="24"/>
        </w:rPr>
      </w:pPr>
      <w:r>
        <w:rPr>
          <w:rFonts w:hint="eastAsia" w:ascii="微软雅黑" w:hAnsi="微软雅黑" w:eastAsia="微软雅黑" w:cs="微软雅黑"/>
          <w:kern w:val="0"/>
          <w:sz w:val="24"/>
          <w:szCs w:val="24"/>
          <w:shd w:val="clear" w:fill="FFFFFF"/>
          <w:lang w:val="en-US" w:eastAsia="zh-CN" w:bidi="ar"/>
        </w:rPr>
        <w:fldChar w:fldCharType="begin"/>
      </w:r>
      <w:r>
        <w:rPr>
          <w:rFonts w:hint="eastAsia" w:ascii="微软雅黑" w:hAnsi="微软雅黑" w:eastAsia="微软雅黑" w:cs="微软雅黑"/>
          <w:kern w:val="0"/>
          <w:sz w:val="24"/>
          <w:szCs w:val="24"/>
          <w:shd w:val="clear" w:fill="FFFFFF"/>
          <w:lang w:val="en-US" w:eastAsia="zh-CN" w:bidi="ar"/>
        </w:rPr>
        <w:instrText xml:space="preserve"> HYPERLINK "http://www.chinatax.gov.cn/n810341/n810755/c4030125/javascript:;" \o "分享到微信" </w:instrText>
      </w:r>
      <w:r>
        <w:rPr>
          <w:rFonts w:hint="eastAsia" w:ascii="微软雅黑" w:hAnsi="微软雅黑" w:eastAsia="微软雅黑" w:cs="微软雅黑"/>
          <w:kern w:val="0"/>
          <w:sz w:val="24"/>
          <w:szCs w:val="24"/>
          <w:shd w:val="clear" w:fill="FFFFFF"/>
          <w:lang w:val="en-US" w:eastAsia="zh-CN" w:bidi="ar"/>
        </w:rPr>
        <w:fldChar w:fldCharType="separate"/>
      </w:r>
      <w:r>
        <w:rPr>
          <w:rStyle w:val="9"/>
          <w:rFonts w:hint="eastAsia" w:ascii="微软雅黑" w:hAnsi="微软雅黑" w:eastAsia="微软雅黑" w:cs="微软雅黑"/>
          <w:sz w:val="24"/>
          <w:szCs w:val="24"/>
          <w:shd w:val="clear" w:fill="FFFFFF"/>
        </w:rPr>
        <w:t> </w:t>
      </w:r>
      <w:r>
        <w:rPr>
          <w:rFonts w:hint="eastAsia" w:ascii="微软雅黑" w:hAnsi="微软雅黑" w:eastAsia="微软雅黑" w:cs="微软雅黑"/>
          <w:kern w:val="0"/>
          <w:sz w:val="24"/>
          <w:szCs w:val="24"/>
          <w:shd w:val="clear" w:fill="FFFFFF"/>
          <w:lang w:val="en-US" w:eastAsia="zh-CN" w:bidi="ar"/>
        </w:rPr>
        <w:fldChar w:fldCharType="end"/>
      </w:r>
      <w:r>
        <w:rPr>
          <w:rFonts w:hint="eastAsia" w:ascii="微软雅黑" w:hAnsi="微软雅黑" w:eastAsia="微软雅黑" w:cs="微软雅黑"/>
          <w:color w:val="333333"/>
          <w:kern w:val="0"/>
          <w:sz w:val="24"/>
          <w:szCs w:val="24"/>
          <w:shd w:val="clear" w:fill="FFFFFF"/>
          <w:lang w:val="en-US" w:eastAsia="zh-CN" w:bidi="ar"/>
        </w:rPr>
        <w:t xml:space="preserve"> </w:t>
      </w:r>
      <w:r>
        <w:rPr>
          <w:rFonts w:hint="eastAsia" w:ascii="微软雅黑" w:hAnsi="微软雅黑" w:eastAsia="微软雅黑" w:cs="微软雅黑"/>
          <w:kern w:val="0"/>
          <w:sz w:val="24"/>
          <w:szCs w:val="24"/>
          <w:shd w:val="clear" w:fill="FFFFFF"/>
          <w:lang w:val="en-US" w:eastAsia="zh-CN" w:bidi="ar"/>
        </w:rPr>
        <w:fldChar w:fldCharType="begin"/>
      </w:r>
      <w:r>
        <w:rPr>
          <w:rFonts w:hint="eastAsia" w:ascii="微软雅黑" w:hAnsi="微软雅黑" w:eastAsia="微软雅黑" w:cs="微软雅黑"/>
          <w:kern w:val="0"/>
          <w:sz w:val="24"/>
          <w:szCs w:val="24"/>
          <w:shd w:val="clear" w:fill="FFFFFF"/>
          <w:lang w:val="en-US" w:eastAsia="zh-CN" w:bidi="ar"/>
        </w:rPr>
        <w:instrText xml:space="preserve"> HYPERLINK "http://www.chinatax.gov.cn/n810341/n810755/c4030125/javascript:;" \o "分享到新浪微博" </w:instrText>
      </w:r>
      <w:r>
        <w:rPr>
          <w:rFonts w:hint="eastAsia" w:ascii="微软雅黑" w:hAnsi="微软雅黑" w:eastAsia="微软雅黑" w:cs="微软雅黑"/>
          <w:kern w:val="0"/>
          <w:sz w:val="24"/>
          <w:szCs w:val="24"/>
          <w:shd w:val="clear" w:fill="FFFFFF"/>
          <w:lang w:val="en-US" w:eastAsia="zh-CN" w:bidi="ar"/>
        </w:rPr>
        <w:fldChar w:fldCharType="separate"/>
      </w:r>
      <w:r>
        <w:rPr>
          <w:rStyle w:val="9"/>
          <w:rFonts w:hint="eastAsia" w:ascii="微软雅黑" w:hAnsi="微软雅黑" w:eastAsia="微软雅黑" w:cs="微软雅黑"/>
          <w:sz w:val="24"/>
          <w:szCs w:val="24"/>
          <w:shd w:val="clear" w:fill="FFFFFF"/>
        </w:rPr>
        <w:t> </w:t>
      </w:r>
      <w:r>
        <w:rPr>
          <w:rFonts w:hint="eastAsia" w:ascii="微软雅黑" w:hAnsi="微软雅黑" w:eastAsia="微软雅黑" w:cs="微软雅黑"/>
          <w:kern w:val="0"/>
          <w:sz w:val="24"/>
          <w:szCs w:val="24"/>
          <w:shd w:val="clear" w:fill="FFFFFF"/>
          <w:lang w:val="en-US" w:eastAsia="zh-CN" w:bidi="ar"/>
        </w:rPr>
        <w:fldChar w:fldCharType="end"/>
      </w:r>
      <w:r>
        <w:rPr>
          <w:rFonts w:hint="eastAsia" w:ascii="微软雅黑" w:hAnsi="微软雅黑" w:eastAsia="微软雅黑" w:cs="微软雅黑"/>
          <w:color w:val="333333"/>
          <w:kern w:val="0"/>
          <w:sz w:val="24"/>
          <w:szCs w:val="24"/>
          <w:shd w:val="clear" w:fill="FFFFFF"/>
          <w:lang w:val="en-US" w:eastAsia="zh-CN" w:bidi="ar"/>
        </w:rPr>
        <w:t xml:space="preserve">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各省、自治区、直辖市、计划</w:t>
      </w:r>
      <w:bookmarkStart w:id="0" w:name="_GoBack"/>
      <w:bookmarkEnd w:id="0"/>
      <w:r>
        <w:rPr>
          <w:rFonts w:hint="eastAsia" w:ascii="宋体" w:hAnsi="宋体" w:eastAsia="宋体" w:cs="宋体"/>
          <w:i w:val="0"/>
          <w:caps w:val="0"/>
          <w:color w:val="333333"/>
          <w:spacing w:val="0"/>
          <w:sz w:val="24"/>
          <w:szCs w:val="24"/>
          <w:shd w:val="clear" w:fill="FFFFFF"/>
        </w:rPr>
        <w:t>单列市财政厅(局)、国家税务总局各省、自治区、直辖市、计划单列市税务局，新疆生产建设兵团财政局：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为进一步支持农产品流通体系建设，决定继续对农产品批发市场、农贸市场给予房产税和城镇土地使用税优惠。现将有关政策通知如下：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一、自2019年1月1日至2021年12月31日，对农产品批发市场、农贸市场（包括自有和承租，下同）专门用于经营农产品的房产、土地，暂免征收房产税和城镇土地使用税。对同时经营其他产品的农产品批发市场和农贸市场使用的房产、土地，按其他产品与农产品交易场地面积的比例确定征免房产税和城镇土地使用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二、农产品批发市场和农贸市场，是指经工商登记注册，供买卖双方进行农产品及其初加工品现货批发或零售交易的场所。农产品包括粮油、肉禽蛋、蔬菜、干鲜果品、水产品、调味品、棉麻、活畜、可食用的林产品以及由省、自治区、直辖市财税部门确定的其他可食用的农产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三、享受上述税收优惠的房产、土地，是指农产品批发市场、农贸市场直接为农产品交易提供服务的房产、土地。农产品批发市场、农贸市场的行政办公区、生活区，以及商业餐饮娱乐等非直接为农产品交易提供服务的房产、土地，不属于本通知规定的优惠范围，应按规定征收房产税和城镇土地使用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四、企业享受本通知规定的免税政策，应按规定进行免税申报，并将不动产权属证明、载有房产原值的相关材料、租赁协议、房产土地用途证明等资料留存备查。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right"/>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财政部  税务总局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right"/>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2019年1月9日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4D0B45AB"/>
    <w:rsid w:val="4E257136"/>
    <w:rsid w:val="7D6F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uiPriority w:val="0"/>
    <w:rPr>
      <w:color w:val="333333"/>
      <w:u w:val="none"/>
    </w:rPr>
  </w:style>
  <w:style w:type="character" w:styleId="9">
    <w:name w:val="Hyperlink"/>
    <w:basedOn w:val="6"/>
    <w:uiPriority w:val="0"/>
    <w:rPr>
      <w:color w:val="333333"/>
      <w:u w:val="none"/>
    </w:rPr>
  </w:style>
  <w:style w:type="character" w:customStyle="1" w:styleId="10">
    <w:name w:val="hao1"/>
    <w:basedOn w:val="6"/>
    <w:uiPriority w:val="0"/>
    <w:rPr>
      <w:b/>
    </w:rPr>
  </w:style>
  <w:style w:type="character" w:customStyle="1" w:styleId="11">
    <w:name w:val="wz"/>
    <w:basedOn w:val="6"/>
    <w:uiPriority w:val="0"/>
    <w:rPr>
      <w:vanish/>
      <w:color w:val="808080"/>
    </w:rPr>
  </w:style>
  <w:style w:type="character" w:customStyle="1" w:styleId="12">
    <w:name w:val="hao12"/>
    <w:basedOn w:val="6"/>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2020-08-14T02:51:44Z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